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b/>
          <w:bCs/>
          <w:sz w:val="27"/>
          <w:szCs w:val="27"/>
        </w:rPr>
      </w:pPr>
      <w:r>
        <w:rPr>
          <w:rFonts w:ascii="宋体" w:hAnsi="宋体" w:eastAsia="宋体" w:cs="宋体"/>
          <w:b/>
          <w:bCs/>
          <w:kern w:val="0"/>
          <w:sz w:val="27"/>
          <w:szCs w:val="27"/>
          <w:bdr w:val="none" w:color="auto" w:sz="0" w:space="0"/>
          <w:lang w:val="en-US" w:eastAsia="zh-CN" w:bidi="ar"/>
        </w:rPr>
        <w:t>关于2024年文化和旅游宏观决策课题申报的公告</w:t>
      </w:r>
    </w:p>
    <w:p>
      <w:pPr>
        <w:keepNext w:val="0"/>
        <w:keepLines w:val="0"/>
        <w:widowControl/>
        <w:suppressLineNumbers w:val="0"/>
        <w:pBdr>
          <w:top w:val="single" w:color="CCCCCC" w:sz="6" w:space="4"/>
          <w:left w:val="none" w:color="auto" w:sz="0" w:space="0"/>
          <w:bottom w:val="single" w:color="CCCCCC" w:sz="6" w:space="0"/>
          <w:right w:val="none" w:color="auto" w:sz="0" w:space="0"/>
        </w:pBdr>
        <w:spacing w:before="0" w:beforeAutospacing="0" w:after="0" w:afterAutospacing="0"/>
        <w:ind w:left="600" w:right="0"/>
        <w:jc w:val="center"/>
      </w:pPr>
      <w:r>
        <w:rPr>
          <w:rFonts w:ascii="宋体" w:hAnsi="宋体" w:eastAsia="宋体" w:cs="宋体"/>
          <w:kern w:val="0"/>
          <w:sz w:val="24"/>
          <w:szCs w:val="24"/>
          <w:bdr w:val="none" w:color="auto" w:sz="0" w:space="0"/>
          <w:lang w:val="en-US" w:eastAsia="zh-CN" w:bidi="ar"/>
        </w:rPr>
        <w:t>2024-02-27 11:22:00     字号:[</w:t>
      </w:r>
      <w:r>
        <w:rPr>
          <w:rFonts w:ascii="宋体" w:hAnsi="宋体" w:eastAsia="宋体" w:cs="宋体"/>
          <w:color w:val="01568F"/>
          <w:kern w:val="0"/>
          <w:sz w:val="24"/>
          <w:szCs w:val="24"/>
          <w:u w:val="none"/>
          <w:bdr w:val="none" w:color="auto" w:sz="0" w:space="0"/>
          <w:lang w:val="en-US" w:eastAsia="zh-CN" w:bidi="ar"/>
        </w:rPr>
        <w:fldChar w:fldCharType="begin"/>
      </w:r>
      <w:r>
        <w:rPr>
          <w:rFonts w:ascii="宋体" w:hAnsi="宋体" w:eastAsia="宋体" w:cs="宋体"/>
          <w:color w:val="01568F"/>
          <w:kern w:val="0"/>
          <w:sz w:val="24"/>
          <w:szCs w:val="24"/>
          <w:u w:val="none"/>
          <w:bdr w:val="none" w:color="auto" w:sz="0" w:space="0"/>
          <w:lang w:val="en-US" w:eastAsia="zh-CN" w:bidi="ar"/>
        </w:rPr>
        <w:instrText xml:space="preserve"> HYPERLINK "javascript:doZoom(16)" </w:instrText>
      </w:r>
      <w:r>
        <w:rPr>
          <w:rFonts w:ascii="宋体" w:hAnsi="宋体" w:eastAsia="宋体" w:cs="宋体"/>
          <w:color w:val="01568F"/>
          <w:kern w:val="0"/>
          <w:sz w:val="24"/>
          <w:szCs w:val="24"/>
          <w:u w:val="none"/>
          <w:bdr w:val="none" w:color="auto" w:sz="0" w:space="0"/>
          <w:lang w:val="en-US" w:eastAsia="zh-CN" w:bidi="ar"/>
        </w:rPr>
        <w:fldChar w:fldCharType="separate"/>
      </w:r>
      <w:r>
        <w:rPr>
          <w:rStyle w:val="6"/>
          <w:rFonts w:ascii="宋体" w:hAnsi="宋体" w:eastAsia="宋体" w:cs="宋体"/>
          <w:color w:val="01568F"/>
          <w:sz w:val="24"/>
          <w:szCs w:val="24"/>
          <w:u w:val="none"/>
          <w:bdr w:val="none" w:color="auto" w:sz="0" w:space="0"/>
        </w:rPr>
        <w:t>大</w:t>
      </w:r>
      <w:r>
        <w:rPr>
          <w:rFonts w:ascii="宋体" w:hAnsi="宋体" w:eastAsia="宋体" w:cs="宋体"/>
          <w:color w:val="01568F"/>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r>
        <w:rPr>
          <w:rFonts w:ascii="宋体" w:hAnsi="宋体" w:eastAsia="宋体" w:cs="宋体"/>
          <w:color w:val="01568F"/>
          <w:kern w:val="0"/>
          <w:sz w:val="24"/>
          <w:szCs w:val="24"/>
          <w:u w:val="none"/>
          <w:bdr w:val="none" w:color="auto" w:sz="0" w:space="0"/>
          <w:lang w:val="en-US" w:eastAsia="zh-CN" w:bidi="ar"/>
        </w:rPr>
        <w:fldChar w:fldCharType="begin"/>
      </w:r>
      <w:r>
        <w:rPr>
          <w:rFonts w:ascii="宋体" w:hAnsi="宋体" w:eastAsia="宋体" w:cs="宋体"/>
          <w:color w:val="01568F"/>
          <w:kern w:val="0"/>
          <w:sz w:val="24"/>
          <w:szCs w:val="24"/>
          <w:u w:val="none"/>
          <w:bdr w:val="none" w:color="auto" w:sz="0" w:space="0"/>
          <w:lang w:val="en-US" w:eastAsia="zh-CN" w:bidi="ar"/>
        </w:rPr>
        <w:instrText xml:space="preserve"> HYPERLINK "javascript:doZoom(14)" </w:instrText>
      </w:r>
      <w:r>
        <w:rPr>
          <w:rFonts w:ascii="宋体" w:hAnsi="宋体" w:eastAsia="宋体" w:cs="宋体"/>
          <w:color w:val="01568F"/>
          <w:kern w:val="0"/>
          <w:sz w:val="24"/>
          <w:szCs w:val="24"/>
          <w:u w:val="none"/>
          <w:bdr w:val="none" w:color="auto" w:sz="0" w:space="0"/>
          <w:lang w:val="en-US" w:eastAsia="zh-CN" w:bidi="ar"/>
        </w:rPr>
        <w:fldChar w:fldCharType="separate"/>
      </w:r>
      <w:r>
        <w:rPr>
          <w:rStyle w:val="6"/>
          <w:rFonts w:ascii="宋体" w:hAnsi="宋体" w:eastAsia="宋体" w:cs="宋体"/>
          <w:color w:val="01568F"/>
          <w:sz w:val="24"/>
          <w:szCs w:val="24"/>
          <w:u w:val="none"/>
          <w:bdr w:val="none" w:color="auto" w:sz="0" w:space="0"/>
        </w:rPr>
        <w:t>中</w:t>
      </w:r>
      <w:r>
        <w:rPr>
          <w:rFonts w:ascii="宋体" w:hAnsi="宋体" w:eastAsia="宋体" w:cs="宋体"/>
          <w:color w:val="01568F"/>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  </w:t>
      </w:r>
      <w:r>
        <w:rPr>
          <w:rFonts w:ascii="宋体" w:hAnsi="宋体" w:eastAsia="宋体" w:cs="宋体"/>
          <w:color w:val="01568F"/>
          <w:kern w:val="0"/>
          <w:sz w:val="24"/>
          <w:szCs w:val="24"/>
          <w:u w:val="none"/>
          <w:bdr w:val="none" w:color="auto" w:sz="0" w:space="0"/>
          <w:lang w:val="en-US" w:eastAsia="zh-CN" w:bidi="ar"/>
        </w:rPr>
        <w:fldChar w:fldCharType="begin"/>
      </w:r>
      <w:r>
        <w:rPr>
          <w:rFonts w:ascii="宋体" w:hAnsi="宋体" w:eastAsia="宋体" w:cs="宋体"/>
          <w:color w:val="01568F"/>
          <w:kern w:val="0"/>
          <w:sz w:val="24"/>
          <w:szCs w:val="24"/>
          <w:u w:val="none"/>
          <w:bdr w:val="none" w:color="auto" w:sz="0" w:space="0"/>
          <w:lang w:val="en-US" w:eastAsia="zh-CN" w:bidi="ar"/>
        </w:rPr>
        <w:instrText xml:space="preserve"> HYPERLINK "javascript:doZoom(12)" </w:instrText>
      </w:r>
      <w:r>
        <w:rPr>
          <w:rFonts w:ascii="宋体" w:hAnsi="宋体" w:eastAsia="宋体" w:cs="宋体"/>
          <w:color w:val="01568F"/>
          <w:kern w:val="0"/>
          <w:sz w:val="24"/>
          <w:szCs w:val="24"/>
          <w:u w:val="none"/>
          <w:bdr w:val="none" w:color="auto" w:sz="0" w:space="0"/>
          <w:lang w:val="en-US" w:eastAsia="zh-CN" w:bidi="ar"/>
        </w:rPr>
        <w:fldChar w:fldCharType="separate"/>
      </w:r>
      <w:r>
        <w:rPr>
          <w:rStyle w:val="6"/>
          <w:rFonts w:ascii="宋体" w:hAnsi="宋体" w:eastAsia="宋体" w:cs="宋体"/>
          <w:color w:val="01568F"/>
          <w:sz w:val="24"/>
          <w:szCs w:val="24"/>
          <w:u w:val="none"/>
          <w:bdr w:val="none" w:color="auto" w:sz="0" w:space="0"/>
        </w:rPr>
        <w:t>小</w:t>
      </w:r>
      <w:r>
        <w:rPr>
          <w:rFonts w:ascii="宋体" w:hAnsi="宋体" w:eastAsia="宋体" w:cs="宋体"/>
          <w:color w:val="01568F"/>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F6991"/>
          <w:sz w:val="21"/>
          <w:szCs w:val="21"/>
        </w:rPr>
      </w:pPr>
      <w:r>
        <w:rPr>
          <w:rFonts w:ascii="宋体" w:hAnsi="宋体" w:eastAsia="宋体" w:cs="宋体"/>
          <w:color w:val="706C6C"/>
          <w:spacing w:val="7"/>
          <w:kern w:val="0"/>
          <w:sz w:val="24"/>
          <w:szCs w:val="24"/>
          <w:bdr w:val="none" w:color="auto" w:sz="0" w:space="0"/>
          <w:lang w:val="en-US" w:eastAsia="zh-CN" w:bidi="ar"/>
        </w:rPr>
        <w:t>经2019年7月文化和旅游部批准，原国家旅游局科研立项课题调整为文化和旅游宏观决策课题，由中国旅游研究院（文化和旅游部数据中心）组织实施。在广泛征求学术共同体、院学术委员会及部相关司局意见基础上，经研究决定，现发布2024年课题指南并启动申报工作。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一、课题指南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文化和旅游宏观决策课题分为重点和一般两类。2024年重点围绕以下方向开展对策研究，具体题目自拟。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（一）重点课题选题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1.习近平文化思想与旅游学科体系、学术体系、话语体系建设研究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2.新质生产力与旅游业高质量发展研究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3.旅游发展与建设中华民族现代文明研究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4.大众旅游新需求与业态创新研究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5.智慧旅游的内涵与实践路径研究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6.绿色旅游产品创新与消费促进研究 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7.现代化旅游产业体系构建研究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8.旅游对传统产业的创新驱动研究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9.旅游驱动型乡村振兴绩效评价体系开发研究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10.人工智能技术对旅游与旅游业的影响与对策研究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11.新时代旅游国际传播叙事体系创新研究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12.研学营地的管理制度与标准化研究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13.旅游发展与文化遗产保护传承研究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14.博物馆促进国际游客到访和传播中国文化的策略研究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15.新时代文艺与旅游融合创新案例研究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16.文化产业赋能乡村振兴的路径研究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（二）一般课题选题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1.文明旅游的理论内涵与政策促进研究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2.城市旅游消费监测体系研究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3.农民旅游需求及发展趋势研究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4.实验室经济与旅游企业创新研究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5.生成式人工智能对旅游服务创新的影响研究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6.风景名胜区旅游解说标准化体系研究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7.红色旅游监测体系与评价研究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8.乡村旅居的支持机制研究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9.民族节庆助推乡村旅游高质量发展的路径和策略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10. 航天旅游发展与促进政策研究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11.旅游业与生态文明建设协调发展的制度创新研究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12.多部门合作下地区旅游活动的数字化转型研究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13.区域旅游协同发展研究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14.新时期旅游职业教育高质量发展研究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15.积极应对人口老龄化背景下的旅居养老发展研究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16.2023年旅游提振消费的政策设计及量化分析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17.新发展格局下我国入境旅游发展战略研究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18.促进出境旅游高质量发展的对策研究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19.数字技术促进文化和旅游融合发展研究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20.基于城市网格的文化和旅游融合发展测度研究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21.财政金融支持文化旅游产业高质量发展的机制和路径研究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22.国际旅游作为增进国家间文化了解、消除认识隔阂的机制与作用研究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23.国际旅游产业互联网前沿研究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24.文旅产业促进国际消费中心城市建设的作用机制与路径研究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25.文旅融合背景下演艺业高质量发展对策研究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26.以艺术活动激发旅游消费活力研究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27.专业文艺院团与旅游行业深度合作研究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28.文化和旅游产业赋能城市更新研究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29.中华文化地标及其载体建设研究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30.文化资源普查研究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二、申报要求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1.课题申请必须围绕课题指南中所列内容，确定1个研究方向自行设计具体题目，课题名称的表述应科学、严谨、规范、简明，一般不加副标题，超出课题指南范围的申请不予受理。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全国高等院校、科研机构、政府部门及其他企事业单位中符合下列条件的人员，可以申请科研课题：（1）遵守中华人民共和国宪法和法律，坚持以习近平新时代中国特色社会主义思想为指导，拥护党的路线、方针和政策。（2）具有独立开展研究和组织开展研究的能力，能够承担实质性研究工作；（3）高等院校、科研机构的人员须具有中级以上职称或已获得博士学位；政府部门和其他企事业单位的人员应具有副高以上职称或处级以上职务，本科以上学历，从事与申请课题相关工作5年以上。（4）有不少于三人参加的课题组（含课题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3.文化和旅游部机关工作人员不能申报或者参与申报文化和旅游宏观决策课题。因病不能坚持正常工作，或者已出国并仍将在国外停留半年以上，或者在课题研究过程中准备出国停留半年以上的人员，不得申请课题。结项鉴定为“不予结项”的课题主持人，三年内不得申报。在职人员须从所在单位申报，兼职人员申报课题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三、申报书和活页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课题申报人须如实、规范填写《文化和旅游宏观决策课题申报书（2024年2月制）》（以下简称《申报书》）和课题活页，并保证没有知识产权争议。凡存在弄虚作假、抄袭剽窃等行为的，一经发现查实，3年内不再受理其申报；如获立项即予撤项并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课题《申报书》及活页均需上传系统。课题活页上传要求为PDF格式，</w:t>
      </w:r>
      <w:r>
        <w:rPr>
          <w:rStyle w:val="5"/>
          <w:rFonts w:hint="eastAsia" w:ascii="Microsoft YaHei UI" w:hAnsi="Microsoft YaHei UI" w:eastAsia="Microsoft YaHei UI" w:cs="Microsoft YaHei UI"/>
          <w:i w:val="0"/>
          <w:iCs w:val="0"/>
          <w:caps w:val="0"/>
          <w:color w:val="706C6C"/>
          <w:spacing w:val="8"/>
          <w:sz w:val="24"/>
          <w:szCs w:val="24"/>
          <w:u w:val="single"/>
          <w:bdr w:val="none" w:color="auto" w:sz="0" w:space="0"/>
          <w:shd w:val="clear" w:fill="FFFFFF"/>
        </w:rPr>
        <w:t>活页内容不得直接或间接透露个人相关背景材料、信息等内容。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2.在文化和旅游宏观决策课题与优秀研究成果管理系统（http://221.239.119.24:8088/xmsb/indexAction!to_index.action）“材料下载”处下载《申报书》及活页最新版。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3.申报课题全部实行资格审查、通讯评审和会议终审的方式，《申报书》课题论证及活页论证部分的字数不得超过4000字。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4.《申请书》封面研究方向，须填写对应课题指南所列选题序号（如：重点课题1）。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5.《申报书》经费预算部分，如有资助额度限制，请严格按照比例填写预算。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6.获准立项的《申报书》视为具有约束力的资助合同文本。最终成果实行会议评审鉴定，鉴定等级予以公布。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7.请申请人严格按照《申请书》及活页要求进行填写，信息填报不规范（论证部分字数超限、透露个人信息、预算比例不符合要求等）的申报，不通过资格审查。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四、经费资助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根据本年度中央财政预算下达额度，重点课题资助额度为每项1.5万元，一般课题资助额度为每项1万元。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五、研究期限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2024年文化和旅游宏观决策课题应于</w:t>
      </w: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2024年10月31日前</w:t>
      </w: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提交结项成果。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六、成果要求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1.研究报告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课题负责人需以研究报告形式提交结项成果，字数不少于1.5万字。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2.成果摘要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课题负责人需提供结项成果摘要，字数不少于3000字。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七、报送时间和方式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本年度课题在申请阶段全面试行无纸化，</w:t>
      </w:r>
      <w:r>
        <w:rPr>
          <w:rStyle w:val="5"/>
          <w:rFonts w:hint="eastAsia" w:ascii="Microsoft YaHei UI" w:hAnsi="Microsoft YaHei UI" w:eastAsia="Microsoft YaHei UI" w:cs="Microsoft YaHei UI"/>
          <w:i w:val="0"/>
          <w:iCs w:val="0"/>
          <w:caps w:val="0"/>
          <w:color w:val="706C6C"/>
          <w:spacing w:val="8"/>
          <w:sz w:val="24"/>
          <w:szCs w:val="24"/>
          <w:u w:val="single"/>
          <w:bdr w:val="none" w:color="auto" w:sz="0" w:space="0"/>
          <w:shd w:val="clear" w:fill="FFFFFF"/>
        </w:rPr>
        <w:t>各单位无需报送纸质申报书和课题申报汇总表。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课题《申报书》及活页须由课题主持人登录文化和旅游宏观决策课题与优秀研究成果管理系统在线提交，</w:t>
      </w: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2024年3月15日17时</w:t>
      </w: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截止申报。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依托单位须登录文化和旅游宏观决策课题与优秀研究成果管理系统，在线审核电子《申报书》和活页。</w:t>
      </w: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2024年3月15日17时</w:t>
      </w: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截止审核，</w:t>
      </w:r>
      <w:r>
        <w:rPr>
          <w:rStyle w:val="5"/>
          <w:rFonts w:hint="eastAsia" w:ascii="Microsoft YaHei UI" w:hAnsi="Microsoft YaHei UI" w:eastAsia="Microsoft YaHei UI" w:cs="Microsoft YaHei UI"/>
          <w:i w:val="0"/>
          <w:iCs w:val="0"/>
          <w:caps w:val="0"/>
          <w:color w:val="706C6C"/>
          <w:spacing w:val="8"/>
          <w:sz w:val="24"/>
          <w:szCs w:val="24"/>
          <w:u w:val="single"/>
          <w:bdr w:val="none" w:color="auto" w:sz="0" w:space="0"/>
          <w:shd w:val="clear" w:fill="FFFFFF"/>
        </w:rPr>
        <w:t>单位未审核项目不通过资格审查。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申报人和依托单位注册、找回登录账号等，详见管理系统首页“注册和审核说明”。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课题获批准立项后，依托单位提交课题申报书的纸质签字盖章版1份，签字盖章的纸质申报书信息（即系统生成的申报书版本号）应与提交的电子申报书严格保持一致。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八、联系方式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中国旅游研究院(文化和旅游部数据中心）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电子邮箱：ctaresearch@163.com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通讯地址：北京市建国门内大街甲九号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邮政编码：100005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706C6C"/>
          <w:spacing w:val="8"/>
          <w:sz w:val="24"/>
          <w:szCs w:val="24"/>
          <w:bdr w:val="none" w:color="auto" w:sz="0" w:space="0"/>
          <w:shd w:val="clear" w:fill="FFFFFF"/>
        </w:rPr>
        <w:t>技术支持电话：400-800-1636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8"/>
          <w:sz w:val="25"/>
          <w:szCs w:val="25"/>
        </w:rPr>
      </w:pPr>
    </w:p>
    <w:p>
      <w:pPr>
        <w:keepNext w:val="0"/>
        <w:keepLines w:val="0"/>
        <w:widowControl/>
        <w:suppressLineNumbers w:val="0"/>
        <w:spacing w:before="0" w:beforeAutospacing="0" w:after="0" w:afterAutospacing="0"/>
        <w:ind w:left="0" w:right="0"/>
        <w:jc w:val="left"/>
      </w:pPr>
      <w:r>
        <w:rPr>
          <w:rFonts w:ascii="宋体" w:hAnsi="宋体" w:eastAsia="宋体" w:cs="宋体"/>
          <w:color w:val="706C6C"/>
          <w:kern w:val="0"/>
          <w:sz w:val="24"/>
          <w:szCs w:val="24"/>
          <w:bdr w:val="none" w:color="auto" w:sz="0" w:space="0"/>
          <w:lang w:val="en-US" w:eastAsia="zh-CN" w:bidi="ar"/>
        </w:rPr>
        <w:t>中国旅游研究院 (文化和旅游部数据中心)               2024年2月26日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000000"/>
    <w:rsid w:val="2DF41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2024-02-29T02:35:15Z</dcterms:created>
  <dc:creator>Administrator</dc:creator>
  <cp:lastModifiedBy>Administrator</cp:lastModifiedBy>
  <dcterms:modified xsi:type="dcterms:W3CDTF">2024-02-29T02:36:11Z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186C43F00AE64BD99573A331F59119AE_12</vt:lpwstr>
  </property>
</Properties>
</file>