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59C43" w14:textId="77777777" w:rsidR="00112AEB" w:rsidRDefault="00000000">
      <w:pPr>
        <w:spacing w:line="579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2025</w:t>
      </w:r>
      <w:r>
        <w:rPr>
          <w:rFonts w:eastAsia="方正小标宋简体"/>
          <w:sz w:val="44"/>
          <w:szCs w:val="44"/>
        </w:rPr>
        <w:t>年度贵州省科学技术进步奖提名公示</w:t>
      </w:r>
    </w:p>
    <w:p w14:paraId="2A3877FB" w14:textId="77777777" w:rsidR="00112AEB" w:rsidRDefault="00112AEB">
      <w:pPr>
        <w:spacing w:line="579" w:lineRule="exact"/>
        <w:jc w:val="center"/>
        <w:rPr>
          <w:rFonts w:eastAsia="仿宋_GB2312"/>
          <w:sz w:val="32"/>
          <w:szCs w:val="32"/>
        </w:rPr>
      </w:pPr>
    </w:p>
    <w:p w14:paraId="535F9027" w14:textId="7E9888E2" w:rsidR="00112AEB" w:rsidRDefault="00000000">
      <w:pPr>
        <w:pStyle w:val="Default"/>
        <w:spacing w:beforeLines="50" w:before="156" w:line="560" w:lineRule="exact"/>
        <w:jc w:val="both"/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</w:pPr>
      <w:r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  <w:t>一、项目名称：</w:t>
      </w:r>
      <w:r>
        <w:rPr>
          <w:rFonts w:ascii="Times New Roman" w:eastAsia="仿宋_GB2312" w:hAnsi="Times New Roman" w:cs="Times New Roman" w:hint="eastAsia"/>
          <w:color w:val="auto"/>
          <w:kern w:val="2"/>
          <w:sz w:val="32"/>
          <w:szCs w:val="32"/>
        </w:rPr>
        <w:t>长寿命、快充型石墨负极材料关键技术开发与应用</w:t>
      </w:r>
    </w:p>
    <w:p w14:paraId="142A1C4F" w14:textId="77777777" w:rsidR="00112AEB" w:rsidRDefault="00000000">
      <w:pPr>
        <w:pStyle w:val="Default"/>
        <w:spacing w:beforeLines="50" w:before="156" w:line="560" w:lineRule="exact"/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</w:pPr>
      <w:r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  <w:t>二、提名者：</w:t>
      </w:r>
      <w:r>
        <w:rPr>
          <w:rFonts w:ascii="Times New Roman" w:eastAsia="黑体" w:hAnsi="Times New Roman" w:cs="Times New Roman" w:hint="eastAsia"/>
          <w:color w:val="auto"/>
          <w:kern w:val="2"/>
          <w:sz w:val="32"/>
          <w:szCs w:val="32"/>
        </w:rPr>
        <w:t>黔西南布依族苗族自治州人民政府</w:t>
      </w:r>
    </w:p>
    <w:p w14:paraId="2E8CCB02" w14:textId="77777777" w:rsidR="00112AEB" w:rsidRDefault="00000000">
      <w:pPr>
        <w:pStyle w:val="Default"/>
        <w:spacing w:beforeLines="50" w:before="156" w:line="560" w:lineRule="exact"/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</w:pPr>
      <w:r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  <w:t>三、主要知识产权和标准规范等目录</w:t>
      </w:r>
    </w:p>
    <w:tbl>
      <w:tblPr>
        <w:tblW w:w="1090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1900"/>
        <w:gridCol w:w="732"/>
        <w:gridCol w:w="1047"/>
        <w:gridCol w:w="1134"/>
        <w:gridCol w:w="1278"/>
        <w:gridCol w:w="1458"/>
        <w:gridCol w:w="1154"/>
        <w:gridCol w:w="1112"/>
      </w:tblGrid>
      <w:tr w:rsidR="00112AEB" w14:paraId="4059DBFA" w14:textId="77777777">
        <w:trPr>
          <w:trHeight w:val="680"/>
          <w:jc w:val="center"/>
        </w:trPr>
        <w:tc>
          <w:tcPr>
            <w:tcW w:w="1088" w:type="dxa"/>
            <w:vAlign w:val="center"/>
          </w:tcPr>
          <w:p w14:paraId="6A54CA11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知识产权（标准）类别</w:t>
            </w:r>
          </w:p>
        </w:tc>
        <w:tc>
          <w:tcPr>
            <w:tcW w:w="1900" w:type="dxa"/>
            <w:vAlign w:val="center"/>
          </w:tcPr>
          <w:p w14:paraId="51D8CCC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知识产权（标准）</w:t>
            </w:r>
          </w:p>
          <w:p w14:paraId="05360ADA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具体名称</w:t>
            </w:r>
          </w:p>
        </w:tc>
        <w:tc>
          <w:tcPr>
            <w:tcW w:w="732" w:type="dxa"/>
            <w:vAlign w:val="center"/>
          </w:tcPr>
          <w:p w14:paraId="054B050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国家</w:t>
            </w:r>
          </w:p>
          <w:p w14:paraId="2A0C50A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（地区）</w:t>
            </w:r>
          </w:p>
        </w:tc>
        <w:tc>
          <w:tcPr>
            <w:tcW w:w="1047" w:type="dxa"/>
            <w:vAlign w:val="center"/>
          </w:tcPr>
          <w:p w14:paraId="357F0D9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授权号</w:t>
            </w:r>
          </w:p>
          <w:p w14:paraId="6638CAB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（标准编号）</w:t>
            </w:r>
          </w:p>
        </w:tc>
        <w:tc>
          <w:tcPr>
            <w:tcW w:w="1134" w:type="dxa"/>
            <w:vAlign w:val="center"/>
          </w:tcPr>
          <w:p w14:paraId="2BC5DA8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授权（标准发布）日期</w:t>
            </w:r>
          </w:p>
        </w:tc>
        <w:tc>
          <w:tcPr>
            <w:tcW w:w="1278" w:type="dxa"/>
            <w:vAlign w:val="center"/>
          </w:tcPr>
          <w:p w14:paraId="605D0CD0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证书编号（标准批准发布部门）</w:t>
            </w:r>
          </w:p>
        </w:tc>
        <w:tc>
          <w:tcPr>
            <w:tcW w:w="1458" w:type="dxa"/>
            <w:vAlign w:val="center"/>
          </w:tcPr>
          <w:p w14:paraId="6CC16200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权利人（标准起草单位）</w:t>
            </w:r>
          </w:p>
        </w:tc>
        <w:tc>
          <w:tcPr>
            <w:tcW w:w="1154" w:type="dxa"/>
            <w:vAlign w:val="center"/>
          </w:tcPr>
          <w:p w14:paraId="51D97D0E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发明人（标准起草人）</w:t>
            </w:r>
          </w:p>
        </w:tc>
        <w:tc>
          <w:tcPr>
            <w:tcW w:w="1112" w:type="dxa"/>
            <w:vAlign w:val="center"/>
          </w:tcPr>
          <w:p w14:paraId="1F9F610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发明专利（标准）有效状态</w:t>
            </w:r>
          </w:p>
        </w:tc>
      </w:tr>
      <w:tr w:rsidR="00112AEB" w14:paraId="724E6CE1" w14:textId="77777777">
        <w:trPr>
          <w:trHeight w:val="838"/>
          <w:jc w:val="center"/>
        </w:trPr>
        <w:tc>
          <w:tcPr>
            <w:tcW w:w="1088" w:type="dxa"/>
            <w:vAlign w:val="center"/>
          </w:tcPr>
          <w:p w14:paraId="5258D38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34B77D0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一种高首次效率石墨复合材料的制备方法</w:t>
            </w:r>
          </w:p>
        </w:tc>
        <w:tc>
          <w:tcPr>
            <w:tcW w:w="732" w:type="dxa"/>
            <w:vAlign w:val="center"/>
          </w:tcPr>
          <w:p w14:paraId="7E43EB4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0EA5E10E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ZL2022113284608</w:t>
            </w:r>
          </w:p>
        </w:tc>
        <w:tc>
          <w:tcPr>
            <w:tcW w:w="1134" w:type="dxa"/>
            <w:vAlign w:val="center"/>
          </w:tcPr>
          <w:p w14:paraId="0CB79D0C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202</w:t>
            </w:r>
            <w:r>
              <w:rPr>
                <w:rFonts w:ascii="Times New Roman" w:eastAsia="仿宋" w:hint="eastAsia"/>
                <w:szCs w:val="24"/>
              </w:rPr>
              <w:t>3</w:t>
            </w:r>
            <w:r>
              <w:rPr>
                <w:rFonts w:ascii="Times New Roman" w:eastAsia="仿宋"/>
                <w:szCs w:val="24"/>
              </w:rPr>
              <w:t>.</w:t>
            </w:r>
            <w:r>
              <w:rPr>
                <w:rFonts w:ascii="Times New Roman" w:eastAsia="仿宋" w:hint="eastAsia"/>
                <w:szCs w:val="24"/>
              </w:rPr>
              <w:t>9</w:t>
            </w:r>
            <w:r>
              <w:rPr>
                <w:rFonts w:ascii="Times New Roman" w:eastAsia="仿宋"/>
                <w:szCs w:val="24"/>
              </w:rPr>
              <w:t>.1</w:t>
            </w:r>
          </w:p>
        </w:tc>
        <w:tc>
          <w:tcPr>
            <w:tcW w:w="1278" w:type="dxa"/>
            <w:vAlign w:val="center"/>
          </w:tcPr>
          <w:p w14:paraId="7B10895B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44726A8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746CE034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胡文良</w:t>
            </w:r>
          </w:p>
        </w:tc>
        <w:tc>
          <w:tcPr>
            <w:tcW w:w="1112" w:type="dxa"/>
            <w:vAlign w:val="center"/>
          </w:tcPr>
          <w:p w14:paraId="0FE22913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5CCAC1A1" w14:textId="77777777">
        <w:trPr>
          <w:trHeight w:val="832"/>
          <w:jc w:val="center"/>
        </w:trPr>
        <w:tc>
          <w:tcPr>
            <w:tcW w:w="1088" w:type="dxa"/>
            <w:vAlign w:val="center"/>
          </w:tcPr>
          <w:p w14:paraId="45B3EFAB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45773F8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一种锂离子电池负极材料的制备方法</w:t>
            </w:r>
          </w:p>
        </w:tc>
        <w:tc>
          <w:tcPr>
            <w:tcW w:w="732" w:type="dxa"/>
            <w:vAlign w:val="center"/>
          </w:tcPr>
          <w:p w14:paraId="0ACD19D4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79649030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ZL 202210400775.2</w:t>
            </w:r>
          </w:p>
        </w:tc>
        <w:tc>
          <w:tcPr>
            <w:tcW w:w="1134" w:type="dxa"/>
            <w:vAlign w:val="center"/>
          </w:tcPr>
          <w:p w14:paraId="21FC67CB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2022.9.2</w:t>
            </w:r>
          </w:p>
        </w:tc>
        <w:tc>
          <w:tcPr>
            <w:tcW w:w="1278" w:type="dxa"/>
            <w:vAlign w:val="center"/>
          </w:tcPr>
          <w:p w14:paraId="6B268F04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</w:tcPr>
          <w:p w14:paraId="4149761A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3A44A1C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杜辉玉</w:t>
            </w:r>
          </w:p>
        </w:tc>
        <w:tc>
          <w:tcPr>
            <w:tcW w:w="1112" w:type="dxa"/>
            <w:vAlign w:val="center"/>
          </w:tcPr>
          <w:p w14:paraId="75FF436E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F065E8" w14:paraId="6EADCDBD" w14:textId="77777777">
        <w:trPr>
          <w:trHeight w:val="832"/>
          <w:jc w:val="center"/>
        </w:trPr>
        <w:tc>
          <w:tcPr>
            <w:tcW w:w="1088" w:type="dxa"/>
            <w:vAlign w:val="center"/>
          </w:tcPr>
          <w:p w14:paraId="0D9914F1" w14:textId="7A1F583D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44C51806" w14:textId="1F892582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一种锂离子电池负极材料的制备方法</w:t>
            </w:r>
          </w:p>
        </w:tc>
        <w:tc>
          <w:tcPr>
            <w:tcW w:w="732" w:type="dxa"/>
            <w:vAlign w:val="center"/>
          </w:tcPr>
          <w:p w14:paraId="58377A0A" w14:textId="5C67AD73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日本</w:t>
            </w:r>
          </w:p>
        </w:tc>
        <w:tc>
          <w:tcPr>
            <w:tcW w:w="1047" w:type="dxa"/>
            <w:vAlign w:val="center"/>
          </w:tcPr>
          <w:p w14:paraId="6351C5FF" w14:textId="6223B9FB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 w:rsidRPr="00F065E8">
              <w:rPr>
                <w:rFonts w:ascii="Times New Roman" w:eastAsia="仿宋"/>
                <w:szCs w:val="24"/>
              </w:rPr>
              <w:t>170556</w:t>
            </w:r>
          </w:p>
        </w:tc>
        <w:tc>
          <w:tcPr>
            <w:tcW w:w="1134" w:type="dxa"/>
            <w:vAlign w:val="center"/>
          </w:tcPr>
          <w:p w14:paraId="5325A4D9" w14:textId="6E2559D3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2024.1.4</w:t>
            </w:r>
          </w:p>
        </w:tc>
        <w:tc>
          <w:tcPr>
            <w:tcW w:w="1278" w:type="dxa"/>
            <w:vAlign w:val="center"/>
          </w:tcPr>
          <w:p w14:paraId="6631F12C" w14:textId="77777777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</w:tcPr>
          <w:p w14:paraId="24FE04BF" w14:textId="20B4B1B2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4008CC1C" w14:textId="4F11AF9D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杜辉玉</w:t>
            </w:r>
          </w:p>
        </w:tc>
        <w:tc>
          <w:tcPr>
            <w:tcW w:w="1112" w:type="dxa"/>
            <w:vAlign w:val="center"/>
          </w:tcPr>
          <w:p w14:paraId="2C8B14E8" w14:textId="748AEB7B" w:rsidR="00F065E8" w:rsidRDefault="00F065E8" w:rsidP="00F065E8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7C9E1247" w14:textId="77777777">
        <w:trPr>
          <w:trHeight w:val="844"/>
          <w:jc w:val="center"/>
        </w:trPr>
        <w:tc>
          <w:tcPr>
            <w:tcW w:w="1088" w:type="dxa"/>
            <w:vAlign w:val="center"/>
          </w:tcPr>
          <w:p w14:paraId="1196048E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433975F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一种含硫快离子导体包覆石墨复合材料及其制备方法</w:t>
            </w:r>
          </w:p>
        </w:tc>
        <w:tc>
          <w:tcPr>
            <w:tcW w:w="732" w:type="dxa"/>
            <w:vAlign w:val="center"/>
          </w:tcPr>
          <w:p w14:paraId="0E6F159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569C16AC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ZL2022104007748</w:t>
            </w:r>
          </w:p>
        </w:tc>
        <w:tc>
          <w:tcPr>
            <w:tcW w:w="1134" w:type="dxa"/>
            <w:vAlign w:val="center"/>
          </w:tcPr>
          <w:p w14:paraId="3D1EB600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2022.12.6</w:t>
            </w:r>
          </w:p>
        </w:tc>
        <w:tc>
          <w:tcPr>
            <w:tcW w:w="1278" w:type="dxa"/>
            <w:vAlign w:val="center"/>
          </w:tcPr>
          <w:p w14:paraId="5E38FEF5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4B99D87E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68132B4B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杜辉玉</w:t>
            </w:r>
          </w:p>
        </w:tc>
        <w:tc>
          <w:tcPr>
            <w:tcW w:w="1112" w:type="dxa"/>
            <w:vAlign w:val="center"/>
          </w:tcPr>
          <w:p w14:paraId="4270CE10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0780AEC7" w14:textId="77777777">
        <w:trPr>
          <w:trHeight w:val="844"/>
          <w:jc w:val="center"/>
        </w:trPr>
        <w:tc>
          <w:tcPr>
            <w:tcW w:w="1088" w:type="dxa"/>
            <w:vAlign w:val="center"/>
          </w:tcPr>
          <w:p w14:paraId="57301F29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6C283AFD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一种高首效高能量密度负极材料及其制备方法</w:t>
            </w:r>
          </w:p>
        </w:tc>
        <w:tc>
          <w:tcPr>
            <w:tcW w:w="732" w:type="dxa"/>
            <w:vAlign w:val="center"/>
          </w:tcPr>
          <w:p w14:paraId="5E6BE69B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6C7ABB5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ZL 2022108516728</w:t>
            </w:r>
          </w:p>
        </w:tc>
        <w:tc>
          <w:tcPr>
            <w:tcW w:w="1134" w:type="dxa"/>
            <w:vAlign w:val="center"/>
          </w:tcPr>
          <w:p w14:paraId="3B71320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2023.5.16</w:t>
            </w:r>
          </w:p>
        </w:tc>
        <w:tc>
          <w:tcPr>
            <w:tcW w:w="1278" w:type="dxa"/>
            <w:vAlign w:val="center"/>
          </w:tcPr>
          <w:p w14:paraId="0098E620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04C11A3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7F17797C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曾冬青，杜辉玉</w:t>
            </w:r>
          </w:p>
        </w:tc>
        <w:tc>
          <w:tcPr>
            <w:tcW w:w="1112" w:type="dxa"/>
            <w:vAlign w:val="center"/>
          </w:tcPr>
          <w:p w14:paraId="429C76A7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16E280DB" w14:textId="77777777">
        <w:trPr>
          <w:trHeight w:val="842"/>
          <w:jc w:val="center"/>
        </w:trPr>
        <w:tc>
          <w:tcPr>
            <w:tcW w:w="1088" w:type="dxa"/>
            <w:vAlign w:val="center"/>
          </w:tcPr>
          <w:p w14:paraId="6EBDAE0E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7DCB3DE7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一种高能量密度快充石墨负极材料的制备方法</w:t>
            </w:r>
          </w:p>
        </w:tc>
        <w:tc>
          <w:tcPr>
            <w:tcW w:w="732" w:type="dxa"/>
            <w:vAlign w:val="center"/>
          </w:tcPr>
          <w:p w14:paraId="7912B9A1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5E685949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2022108796377</w:t>
            </w:r>
          </w:p>
        </w:tc>
        <w:tc>
          <w:tcPr>
            <w:tcW w:w="1134" w:type="dxa"/>
            <w:vAlign w:val="center"/>
          </w:tcPr>
          <w:p w14:paraId="643632D7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2023.2.3</w:t>
            </w:r>
          </w:p>
        </w:tc>
        <w:tc>
          <w:tcPr>
            <w:tcW w:w="1278" w:type="dxa"/>
            <w:vAlign w:val="center"/>
          </w:tcPr>
          <w:p w14:paraId="0E493C79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2AA1A3A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16112D1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曾冬青，杜辉玉</w:t>
            </w:r>
          </w:p>
        </w:tc>
        <w:tc>
          <w:tcPr>
            <w:tcW w:w="1112" w:type="dxa"/>
            <w:vAlign w:val="center"/>
          </w:tcPr>
          <w:p w14:paraId="2BFCA8B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27B85CE7" w14:textId="77777777">
        <w:trPr>
          <w:trHeight w:val="1021"/>
          <w:jc w:val="center"/>
        </w:trPr>
        <w:tc>
          <w:tcPr>
            <w:tcW w:w="1088" w:type="dxa"/>
            <w:vAlign w:val="center"/>
          </w:tcPr>
          <w:p w14:paraId="0A760064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发明专利</w:t>
            </w:r>
          </w:p>
        </w:tc>
        <w:tc>
          <w:tcPr>
            <w:tcW w:w="1900" w:type="dxa"/>
            <w:vAlign w:val="center"/>
          </w:tcPr>
          <w:p w14:paraId="6BF9C3F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一种长寿命快充型锂离子电池负极材料及其制备方法</w:t>
            </w:r>
          </w:p>
        </w:tc>
        <w:tc>
          <w:tcPr>
            <w:tcW w:w="732" w:type="dxa"/>
            <w:vAlign w:val="center"/>
          </w:tcPr>
          <w:p w14:paraId="67DF80B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0459F049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ZL 202210400788.X</w:t>
            </w:r>
          </w:p>
        </w:tc>
        <w:tc>
          <w:tcPr>
            <w:tcW w:w="1134" w:type="dxa"/>
            <w:vAlign w:val="center"/>
          </w:tcPr>
          <w:p w14:paraId="0963C10B" w14:textId="477D3B22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2022.</w:t>
            </w:r>
            <w:r w:rsidR="00886350">
              <w:rPr>
                <w:rFonts w:ascii="Times New Roman" w:eastAsia="仿宋" w:hint="eastAsia"/>
                <w:szCs w:val="24"/>
              </w:rPr>
              <w:t>9</w:t>
            </w:r>
            <w:r>
              <w:rPr>
                <w:rFonts w:ascii="Times New Roman" w:eastAsia="仿宋" w:hint="eastAsia"/>
                <w:szCs w:val="24"/>
              </w:rPr>
              <w:t>.9</w:t>
            </w:r>
          </w:p>
        </w:tc>
        <w:tc>
          <w:tcPr>
            <w:tcW w:w="1278" w:type="dxa"/>
            <w:vAlign w:val="center"/>
          </w:tcPr>
          <w:p w14:paraId="52F17007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13639CC1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晖阳（贵州）新能源材料有限公司</w:t>
            </w:r>
          </w:p>
        </w:tc>
        <w:tc>
          <w:tcPr>
            <w:tcW w:w="1154" w:type="dxa"/>
            <w:vAlign w:val="center"/>
          </w:tcPr>
          <w:p w14:paraId="6F815447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杜辉玉</w:t>
            </w:r>
          </w:p>
        </w:tc>
        <w:tc>
          <w:tcPr>
            <w:tcW w:w="1112" w:type="dxa"/>
            <w:vAlign w:val="center"/>
          </w:tcPr>
          <w:p w14:paraId="4F8B2286" w14:textId="77777777" w:rsidR="00112AEB" w:rsidRDefault="00000000">
            <w:pPr>
              <w:pStyle w:val="a5"/>
              <w:spacing w:line="390" w:lineRule="exact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027C1B3E" w14:textId="77777777">
        <w:trPr>
          <w:trHeight w:val="850"/>
          <w:jc w:val="center"/>
        </w:trPr>
        <w:tc>
          <w:tcPr>
            <w:tcW w:w="1088" w:type="dxa"/>
            <w:vAlign w:val="center"/>
          </w:tcPr>
          <w:p w14:paraId="66D0C4C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lastRenderedPageBreak/>
              <w:t>发明专利</w:t>
            </w:r>
          </w:p>
        </w:tc>
        <w:tc>
          <w:tcPr>
            <w:tcW w:w="1900" w:type="dxa"/>
            <w:vAlign w:val="center"/>
          </w:tcPr>
          <w:p w14:paraId="1822C55A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一种过渡金属元素循环利用的石墨化多孔碳的制备方法</w:t>
            </w:r>
          </w:p>
        </w:tc>
        <w:tc>
          <w:tcPr>
            <w:tcW w:w="732" w:type="dxa"/>
            <w:vAlign w:val="center"/>
          </w:tcPr>
          <w:p w14:paraId="08F9DAA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7445DAA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ZL 201610720092.X</w:t>
            </w:r>
          </w:p>
        </w:tc>
        <w:tc>
          <w:tcPr>
            <w:tcW w:w="1134" w:type="dxa"/>
            <w:vAlign w:val="center"/>
          </w:tcPr>
          <w:p w14:paraId="36E3573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2020.10.2</w:t>
            </w:r>
          </w:p>
        </w:tc>
        <w:tc>
          <w:tcPr>
            <w:tcW w:w="1278" w:type="dxa"/>
            <w:vAlign w:val="center"/>
          </w:tcPr>
          <w:p w14:paraId="4A96E67A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1A14A0F4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北京化工大学</w:t>
            </w:r>
          </w:p>
        </w:tc>
        <w:tc>
          <w:tcPr>
            <w:tcW w:w="1154" w:type="dxa"/>
            <w:vAlign w:val="center"/>
          </w:tcPr>
          <w:p w14:paraId="246F60D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徐斌、于树凯、王浩然</w:t>
            </w:r>
          </w:p>
        </w:tc>
        <w:tc>
          <w:tcPr>
            <w:tcW w:w="1112" w:type="dxa"/>
            <w:vAlign w:val="center"/>
          </w:tcPr>
          <w:p w14:paraId="5FE22A4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有效</w:t>
            </w:r>
          </w:p>
        </w:tc>
      </w:tr>
      <w:tr w:rsidR="00112AEB" w14:paraId="74BDD82F" w14:textId="77777777">
        <w:trPr>
          <w:trHeight w:val="834"/>
          <w:jc w:val="center"/>
        </w:trPr>
        <w:tc>
          <w:tcPr>
            <w:tcW w:w="1088" w:type="dxa"/>
            <w:vAlign w:val="center"/>
          </w:tcPr>
          <w:p w14:paraId="1DB174B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论文</w:t>
            </w:r>
          </w:p>
        </w:tc>
        <w:tc>
          <w:tcPr>
            <w:tcW w:w="1900" w:type="dxa"/>
            <w:vAlign w:val="center"/>
          </w:tcPr>
          <w:p w14:paraId="3BD73366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Soft carbon-coated bulk graphite for improved potassium ion storage</w:t>
            </w:r>
          </w:p>
        </w:tc>
        <w:tc>
          <w:tcPr>
            <w:tcW w:w="732" w:type="dxa"/>
            <w:vAlign w:val="center"/>
          </w:tcPr>
          <w:p w14:paraId="49DB9C4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中国</w:t>
            </w:r>
          </w:p>
        </w:tc>
        <w:tc>
          <w:tcPr>
            <w:tcW w:w="1047" w:type="dxa"/>
            <w:vAlign w:val="center"/>
          </w:tcPr>
          <w:p w14:paraId="09065F67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Chinese Chemical Letters. 2023, 34, 107312</w:t>
            </w:r>
          </w:p>
        </w:tc>
        <w:tc>
          <w:tcPr>
            <w:tcW w:w="1134" w:type="dxa"/>
            <w:vAlign w:val="center"/>
          </w:tcPr>
          <w:p w14:paraId="5486BA93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2022.3.13</w:t>
            </w:r>
          </w:p>
        </w:tc>
        <w:tc>
          <w:tcPr>
            <w:tcW w:w="1278" w:type="dxa"/>
            <w:vAlign w:val="center"/>
          </w:tcPr>
          <w:p w14:paraId="4FB0702B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/</w:t>
            </w:r>
          </w:p>
        </w:tc>
        <w:tc>
          <w:tcPr>
            <w:tcW w:w="1458" w:type="dxa"/>
            <w:vAlign w:val="center"/>
          </w:tcPr>
          <w:p w14:paraId="3ECC087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北京化工大学</w:t>
            </w:r>
          </w:p>
        </w:tc>
        <w:tc>
          <w:tcPr>
            <w:tcW w:w="1154" w:type="dxa"/>
            <w:vAlign w:val="center"/>
          </w:tcPr>
          <w:p w14:paraId="346ED90A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Xiaqing Chang, Ning Sun, Bin Xu</w:t>
            </w:r>
            <w:r>
              <w:rPr>
                <w:rFonts w:ascii="Times New Roman" w:eastAsia="仿宋" w:hint="eastAsia"/>
                <w:szCs w:val="24"/>
              </w:rPr>
              <w:t>等</w:t>
            </w:r>
          </w:p>
        </w:tc>
        <w:tc>
          <w:tcPr>
            <w:tcW w:w="1112" w:type="dxa"/>
            <w:vAlign w:val="center"/>
          </w:tcPr>
          <w:p w14:paraId="1B891380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</w:tr>
      <w:tr w:rsidR="00112AEB" w14:paraId="15350DA6" w14:textId="77777777">
        <w:trPr>
          <w:trHeight w:val="834"/>
          <w:jc w:val="center"/>
        </w:trPr>
        <w:tc>
          <w:tcPr>
            <w:tcW w:w="1088" w:type="dxa"/>
            <w:vAlign w:val="center"/>
          </w:tcPr>
          <w:p w14:paraId="50C0187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论文</w:t>
            </w:r>
          </w:p>
        </w:tc>
        <w:tc>
          <w:tcPr>
            <w:tcW w:w="1900" w:type="dxa"/>
            <w:vAlign w:val="center"/>
          </w:tcPr>
          <w:p w14:paraId="7477993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Capillary Evaporation-Induced Fabrication of Compact Flake Graphite Anode with High Volumetric Performance for Potassium Ion Batteries</w:t>
            </w:r>
          </w:p>
        </w:tc>
        <w:tc>
          <w:tcPr>
            <w:tcW w:w="732" w:type="dxa"/>
            <w:vAlign w:val="center"/>
          </w:tcPr>
          <w:p w14:paraId="2B3CF8B2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美国</w:t>
            </w:r>
          </w:p>
        </w:tc>
        <w:tc>
          <w:tcPr>
            <w:tcW w:w="1047" w:type="dxa"/>
            <w:vAlign w:val="center"/>
          </w:tcPr>
          <w:p w14:paraId="5D1D7CEF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Advanced Materials Interfaces, 2023, 10, 2201</w:t>
            </w:r>
          </w:p>
        </w:tc>
        <w:tc>
          <w:tcPr>
            <w:tcW w:w="1134" w:type="dxa"/>
            <w:vAlign w:val="center"/>
          </w:tcPr>
          <w:p w14:paraId="4F4EC679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2022.12.9</w:t>
            </w:r>
          </w:p>
        </w:tc>
        <w:tc>
          <w:tcPr>
            <w:tcW w:w="1278" w:type="dxa"/>
            <w:vAlign w:val="center"/>
          </w:tcPr>
          <w:p w14:paraId="1C20EE2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 w:hint="eastAsia"/>
                <w:szCs w:val="24"/>
              </w:rPr>
              <w:t>/</w:t>
            </w:r>
          </w:p>
        </w:tc>
        <w:tc>
          <w:tcPr>
            <w:tcW w:w="1458" w:type="dxa"/>
            <w:vAlign w:val="center"/>
          </w:tcPr>
          <w:p w14:paraId="365CC148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北京化工大学</w:t>
            </w:r>
          </w:p>
        </w:tc>
        <w:tc>
          <w:tcPr>
            <w:tcW w:w="1154" w:type="dxa"/>
            <w:vAlign w:val="center"/>
          </w:tcPr>
          <w:p w14:paraId="1F6FB7B5" w14:textId="77777777" w:rsidR="00112AEB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  <w:r>
              <w:rPr>
                <w:rFonts w:ascii="Times New Roman" w:eastAsia="仿宋"/>
                <w:szCs w:val="24"/>
              </w:rPr>
              <w:t>Xiaqing Chang, Ning Sun, Bin Xu</w:t>
            </w:r>
            <w:r>
              <w:rPr>
                <w:rFonts w:ascii="Times New Roman" w:eastAsia="仿宋" w:hint="eastAsia"/>
                <w:szCs w:val="24"/>
              </w:rPr>
              <w:t>等</w:t>
            </w:r>
          </w:p>
        </w:tc>
        <w:tc>
          <w:tcPr>
            <w:tcW w:w="1112" w:type="dxa"/>
            <w:vAlign w:val="center"/>
          </w:tcPr>
          <w:p w14:paraId="1BE75859" w14:textId="77777777" w:rsidR="00112AEB" w:rsidRDefault="00112AEB">
            <w:pPr>
              <w:pStyle w:val="a5"/>
              <w:spacing w:line="240" w:lineRule="auto"/>
              <w:ind w:firstLineChars="0" w:firstLine="0"/>
              <w:jc w:val="center"/>
              <w:rPr>
                <w:rFonts w:ascii="Times New Roman" w:eastAsia="仿宋"/>
                <w:szCs w:val="24"/>
              </w:rPr>
            </w:pPr>
          </w:p>
        </w:tc>
      </w:tr>
    </w:tbl>
    <w:p w14:paraId="3428D426" w14:textId="77777777" w:rsidR="00112AEB" w:rsidRDefault="00112AEB">
      <w:pPr>
        <w:pStyle w:val="Default"/>
        <w:spacing w:beforeLines="50" w:before="156" w:line="560" w:lineRule="exact"/>
        <w:rPr>
          <w:rFonts w:ascii="Times New Roman" w:eastAsia="黑体" w:hAnsi="Times New Roman" w:cs="Times New Roman"/>
          <w:color w:val="auto"/>
          <w:kern w:val="2"/>
          <w:sz w:val="32"/>
          <w:szCs w:val="32"/>
        </w:rPr>
      </w:pPr>
    </w:p>
    <w:p w14:paraId="1D5F7ECA" w14:textId="77777777" w:rsidR="00112AEB" w:rsidRDefault="00000000">
      <w:pPr>
        <w:spacing w:line="360" w:lineRule="auto"/>
        <w:rPr>
          <w:b/>
          <w:sz w:val="24"/>
          <w:szCs w:val="24"/>
        </w:rPr>
      </w:pPr>
      <w:r>
        <w:rPr>
          <w:rFonts w:eastAsia="黑体"/>
          <w:sz w:val="32"/>
          <w:szCs w:val="32"/>
        </w:rPr>
        <w:t>四、主要完成人：</w:t>
      </w:r>
      <w:r>
        <w:rPr>
          <w:rFonts w:eastAsia="仿宋_GB2312" w:hint="eastAsia"/>
          <w:sz w:val="32"/>
          <w:szCs w:val="32"/>
        </w:rPr>
        <w:t>胡文良、徐斌、孙宁、童晖、杜辉玉、曾冬青、韦入榆</w:t>
      </w:r>
    </w:p>
    <w:p w14:paraId="6C211506" w14:textId="7A473937" w:rsidR="00112AEB" w:rsidRDefault="00000000">
      <w:pPr>
        <w:spacing w:line="579" w:lineRule="exact"/>
      </w:pPr>
      <w:r>
        <w:rPr>
          <w:rFonts w:eastAsia="黑体"/>
          <w:sz w:val="32"/>
          <w:szCs w:val="32"/>
        </w:rPr>
        <w:t>五、主要完成单位：</w:t>
      </w:r>
      <w:r>
        <w:rPr>
          <w:rFonts w:eastAsia="仿宋_GB2312" w:hint="eastAsia"/>
          <w:sz w:val="32"/>
          <w:szCs w:val="32"/>
        </w:rPr>
        <w:t>晖阳（贵州）新能源材料有限公司、北京化工大学、贵州民族大学</w:t>
      </w:r>
      <w:r w:rsidR="006B78E4">
        <w:rPr>
          <w:rFonts w:eastAsia="仿宋_GB2312" w:hint="eastAsia"/>
          <w:sz w:val="32"/>
          <w:szCs w:val="32"/>
        </w:rPr>
        <w:t>、延安大学</w:t>
      </w:r>
    </w:p>
    <w:sectPr w:rsidR="00112A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50204" w14:textId="77777777" w:rsidR="009974F9" w:rsidRDefault="009974F9" w:rsidP="006F0CAE">
      <w:r>
        <w:separator/>
      </w:r>
    </w:p>
  </w:endnote>
  <w:endnote w:type="continuationSeparator" w:id="0">
    <w:p w14:paraId="59395FD4" w14:textId="77777777" w:rsidR="009974F9" w:rsidRDefault="009974F9" w:rsidP="006F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D831B2EA-1201-4B83-8C0C-3F55788215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D99196-DC61-4F4C-B3A2-98984CCAC2FA}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  <w:embedRegular r:id="rId3" w:subsetted="1" w:fontKey="{7165A3BB-199D-4E3B-94CB-29ABBE63F0F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AFC0D43-15DB-48E8-A4CF-54F3AC6428F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D74980C-5445-413B-BC42-E089E81D7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9AE731-2A87-40E0-8E07-5C0CC832EF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A43D3" w14:textId="77777777" w:rsidR="009974F9" w:rsidRDefault="009974F9" w:rsidP="006F0CAE">
      <w:r>
        <w:separator/>
      </w:r>
    </w:p>
  </w:footnote>
  <w:footnote w:type="continuationSeparator" w:id="0">
    <w:p w14:paraId="34518C53" w14:textId="77777777" w:rsidR="009974F9" w:rsidRDefault="009974F9" w:rsidP="006F0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removePersonalInformation/>
  <w:embedTrueType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AEB"/>
    <w:rsid w:val="00112AEB"/>
    <w:rsid w:val="002F6BFE"/>
    <w:rsid w:val="00326A25"/>
    <w:rsid w:val="004027B8"/>
    <w:rsid w:val="004557E4"/>
    <w:rsid w:val="0059110B"/>
    <w:rsid w:val="005A292A"/>
    <w:rsid w:val="0068298E"/>
    <w:rsid w:val="006B78E4"/>
    <w:rsid w:val="006F0CAE"/>
    <w:rsid w:val="00886350"/>
    <w:rsid w:val="009974F9"/>
    <w:rsid w:val="00A92C05"/>
    <w:rsid w:val="00ED3FD8"/>
    <w:rsid w:val="00F065E8"/>
    <w:rsid w:val="334D2D68"/>
    <w:rsid w:val="4B95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39E6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uiPriority="10" w:qFormat="1"/>
    <w:lsdException w:name="Default Paragraph Font" w:uiPriority="1" w:qFormat="1"/>
    <w:lsdException w:name="Body Text" w:uiPriority="99" w:qFormat="1"/>
    <w:lsdException w:name="Subtitle" w:uiPriority="1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278" w:lineRule="auto"/>
      <w:jc w:val="left"/>
      <w:outlineLvl w:val="0"/>
    </w:pPr>
    <w:rPr>
      <w:rFonts w:ascii="等线 Light" w:eastAsia="等线 Light" w:hAnsi="等线 Light" w:cs="宋体"/>
      <w:color w:val="0F4761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160" w:after="80" w:line="278" w:lineRule="auto"/>
      <w:jc w:val="left"/>
      <w:outlineLvl w:val="1"/>
    </w:pPr>
    <w:rPr>
      <w:rFonts w:ascii="等线 Light" w:eastAsia="等线 Light" w:hAnsi="等线 Light" w:cs="宋体"/>
      <w:color w:val="0F4761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160" w:after="80" w:line="278" w:lineRule="auto"/>
      <w:jc w:val="left"/>
      <w:outlineLvl w:val="2"/>
    </w:pPr>
    <w:rPr>
      <w:rFonts w:ascii="等线 Light" w:eastAsia="等线 Light" w:hAnsi="等线 Light" w:cs="宋体"/>
      <w:color w:val="0F4761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80" w:after="40" w:line="278" w:lineRule="auto"/>
      <w:jc w:val="left"/>
      <w:outlineLvl w:val="3"/>
    </w:pPr>
    <w:rPr>
      <w:rFonts w:ascii="等线" w:eastAsia="等线" w:hAnsi="等线" w:cs="宋体"/>
      <w:color w:val="0F4761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80" w:after="40" w:line="278" w:lineRule="auto"/>
      <w:jc w:val="left"/>
      <w:outlineLvl w:val="4"/>
    </w:pPr>
    <w:rPr>
      <w:rFonts w:ascii="等线" w:eastAsia="等线" w:hAnsi="等线" w:cs="宋体"/>
      <w:color w:val="0F4761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line="278" w:lineRule="auto"/>
      <w:jc w:val="left"/>
      <w:outlineLvl w:val="5"/>
    </w:pPr>
    <w:rPr>
      <w:rFonts w:ascii="等线" w:eastAsia="等线" w:hAnsi="等线" w:cs="宋体"/>
      <w:b/>
      <w:bCs/>
      <w:color w:val="0F476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line="278" w:lineRule="auto"/>
      <w:jc w:val="left"/>
      <w:outlineLvl w:val="6"/>
    </w:pPr>
    <w:rPr>
      <w:rFonts w:ascii="等线" w:eastAsia="等线" w:hAnsi="等线" w:cs="宋体"/>
      <w:b/>
      <w:bCs/>
      <w:color w:val="595959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line="278" w:lineRule="auto"/>
      <w:jc w:val="left"/>
      <w:outlineLvl w:val="7"/>
    </w:pPr>
    <w:rPr>
      <w:rFonts w:ascii="等线" w:eastAsia="等线" w:hAnsi="等线" w:cs="宋体"/>
      <w:color w:val="595959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line="278" w:lineRule="auto"/>
      <w:jc w:val="left"/>
      <w:outlineLvl w:val="8"/>
    </w:pPr>
    <w:rPr>
      <w:rFonts w:ascii="等线" w:eastAsia="等线 Light" w:hAnsi="等线" w:cs="宋体"/>
      <w:color w:val="595959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a4"/>
    <w:uiPriority w:val="99"/>
    <w:qFormat/>
    <w:pPr>
      <w:spacing w:after="120"/>
    </w:p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spacing w:after="160"/>
      <w:jc w:val="left"/>
    </w:pPr>
    <w:rPr>
      <w:rFonts w:ascii="等线" w:eastAsia="等线" w:hAnsi="等线" w:cs="宋体"/>
      <w:sz w:val="18"/>
      <w:szCs w:val="18"/>
      <w14:ligatures w14:val="standardContextual"/>
    </w:rPr>
  </w:style>
  <w:style w:type="paragraph" w:styleId="a9">
    <w:name w:val="header"/>
    <w:basedOn w:val="a"/>
    <w:link w:val="aa"/>
    <w:uiPriority w:val="99"/>
    <w:qFormat/>
    <w:pPr>
      <w:tabs>
        <w:tab w:val="center" w:pos="4153"/>
        <w:tab w:val="right" w:pos="8306"/>
      </w:tabs>
      <w:snapToGrid w:val="0"/>
      <w:spacing w:after="160"/>
      <w:jc w:val="center"/>
    </w:pPr>
    <w:rPr>
      <w:rFonts w:ascii="等线" w:eastAsia="等线" w:hAnsi="等线" w:cs="宋体"/>
      <w:sz w:val="18"/>
      <w:szCs w:val="18"/>
      <w14:ligatures w14:val="standardContextual"/>
    </w:rPr>
  </w:style>
  <w:style w:type="paragraph" w:styleId="ab">
    <w:name w:val="Subtitle"/>
    <w:basedOn w:val="a"/>
    <w:next w:val="a"/>
    <w:link w:val="ac"/>
    <w:uiPriority w:val="11"/>
    <w:qFormat/>
    <w:pPr>
      <w:spacing w:after="160" w:line="278" w:lineRule="auto"/>
      <w:jc w:val="center"/>
    </w:pPr>
    <w:rPr>
      <w:rFonts w:ascii="等线 Light" w:eastAsia="等线 Light" w:hAnsi="等线 Light" w:cs="宋体"/>
      <w:color w:val="595959"/>
      <w:spacing w:val="15"/>
      <w:sz w:val="28"/>
      <w:szCs w:val="28"/>
      <w14:ligatures w14:val="standardContextual"/>
    </w:rPr>
  </w:style>
  <w:style w:type="paragraph" w:styleId="ad">
    <w:name w:val="Normal (Web)"/>
    <w:basedOn w:val="a"/>
    <w:uiPriority w:val="99"/>
    <w:qFormat/>
    <w:rPr>
      <w:sz w:val="24"/>
    </w:rPr>
  </w:style>
  <w:style w:type="paragraph" w:styleId="ae">
    <w:name w:val="Title"/>
    <w:basedOn w:val="a"/>
    <w:next w:val="a"/>
    <w:link w:val="af"/>
    <w:uiPriority w:val="10"/>
    <w:qFormat/>
    <w:pPr>
      <w:spacing w:after="80"/>
      <w:contextualSpacing/>
      <w:jc w:val="center"/>
    </w:pPr>
    <w:rPr>
      <w:rFonts w:ascii="等线 Light" w:eastAsia="等线 Light" w:hAnsi="等线 Light" w:cs="宋体"/>
      <w:spacing w:val="-10"/>
      <w:kern w:val="28"/>
      <w:sz w:val="56"/>
      <w:szCs w:val="56"/>
      <w14:ligatures w14:val="standardContextual"/>
    </w:rPr>
  </w:style>
  <w:style w:type="character" w:customStyle="1" w:styleId="10">
    <w:name w:val="标题 1 字符"/>
    <w:basedOn w:val="a0"/>
    <w:link w:val="1"/>
    <w:uiPriority w:val="9"/>
    <w:qFormat/>
    <w:rPr>
      <w:rFonts w:ascii="等线 Light" w:eastAsia="等线 Light" w:hAnsi="等线 Light" w:cs="宋体"/>
      <w:color w:val="0F4761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="等线 Light" w:eastAsia="等线 Light" w:hAnsi="等线 Light" w:cs="宋体"/>
      <w:color w:val="0F4761"/>
      <w:sz w:val="40"/>
      <w:szCs w:val="40"/>
    </w:rPr>
  </w:style>
  <w:style w:type="character" w:customStyle="1" w:styleId="30">
    <w:name w:val="标题 3 字符"/>
    <w:basedOn w:val="a0"/>
    <w:link w:val="3"/>
    <w:uiPriority w:val="9"/>
    <w:qFormat/>
    <w:rPr>
      <w:rFonts w:ascii="等线 Light" w:eastAsia="等线 Light" w:hAnsi="等线 Light" w:cs="宋体"/>
      <w:color w:val="0F4761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cs="宋体"/>
      <w:color w:val="0F4761"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cs="宋体"/>
      <w:color w:val="0F4761"/>
      <w:sz w:val="24"/>
    </w:rPr>
  </w:style>
  <w:style w:type="character" w:customStyle="1" w:styleId="60">
    <w:name w:val="标题 6 字符"/>
    <w:basedOn w:val="a0"/>
    <w:link w:val="6"/>
    <w:uiPriority w:val="9"/>
    <w:qFormat/>
    <w:rPr>
      <w:rFonts w:cs="宋体"/>
      <w:b/>
      <w:bCs/>
      <w:color w:val="0F4761"/>
    </w:rPr>
  </w:style>
  <w:style w:type="character" w:customStyle="1" w:styleId="70">
    <w:name w:val="标题 7 字符"/>
    <w:basedOn w:val="a0"/>
    <w:link w:val="7"/>
    <w:uiPriority w:val="9"/>
    <w:qFormat/>
    <w:rPr>
      <w:rFonts w:cs="宋体"/>
      <w:b/>
      <w:bCs/>
      <w:color w:val="595959"/>
    </w:rPr>
  </w:style>
  <w:style w:type="character" w:customStyle="1" w:styleId="80">
    <w:name w:val="标题 8 字符"/>
    <w:basedOn w:val="a0"/>
    <w:link w:val="8"/>
    <w:uiPriority w:val="9"/>
    <w:qFormat/>
    <w:rPr>
      <w:rFonts w:cs="宋体"/>
      <w:color w:val="595959"/>
    </w:rPr>
  </w:style>
  <w:style w:type="character" w:customStyle="1" w:styleId="90">
    <w:name w:val="标题 9 字符"/>
    <w:basedOn w:val="a0"/>
    <w:link w:val="9"/>
    <w:uiPriority w:val="9"/>
    <w:qFormat/>
    <w:rPr>
      <w:rFonts w:eastAsia="等线 Light" w:cs="宋体"/>
      <w:color w:val="595959"/>
    </w:rPr>
  </w:style>
  <w:style w:type="character" w:customStyle="1" w:styleId="af">
    <w:name w:val="标题 字符"/>
    <w:basedOn w:val="a0"/>
    <w:link w:val="ae"/>
    <w:uiPriority w:val="10"/>
    <w:qFormat/>
    <w:rPr>
      <w:rFonts w:ascii="等线 Light" w:eastAsia="等线 Light" w:hAnsi="等线 Light" w:cs="宋体"/>
      <w:spacing w:val="-10"/>
      <w:kern w:val="28"/>
      <w:sz w:val="56"/>
      <w:szCs w:val="56"/>
    </w:rPr>
  </w:style>
  <w:style w:type="character" w:customStyle="1" w:styleId="ac">
    <w:name w:val="副标题 字符"/>
    <w:basedOn w:val="a0"/>
    <w:link w:val="ab"/>
    <w:uiPriority w:val="11"/>
    <w:qFormat/>
    <w:rPr>
      <w:rFonts w:ascii="等线 Light" w:eastAsia="等线 Light" w:hAnsi="等线 Light" w:cs="宋体"/>
      <w:color w:val="595959"/>
      <w:spacing w:val="15"/>
      <w:sz w:val="28"/>
      <w:szCs w:val="28"/>
    </w:rPr>
  </w:style>
  <w:style w:type="paragraph" w:customStyle="1" w:styleId="11">
    <w:name w:val="引用1"/>
    <w:basedOn w:val="a"/>
    <w:next w:val="a"/>
    <w:link w:val="af0"/>
    <w:uiPriority w:val="29"/>
    <w:qFormat/>
    <w:pPr>
      <w:spacing w:before="160" w:after="160" w:line="278" w:lineRule="auto"/>
      <w:jc w:val="center"/>
    </w:pPr>
    <w:rPr>
      <w:rFonts w:ascii="等线" w:eastAsia="等线" w:hAnsi="等线" w:cs="宋体"/>
      <w:i/>
      <w:iCs/>
      <w:color w:val="404040"/>
      <w:sz w:val="22"/>
      <w:szCs w:val="24"/>
      <w14:ligatures w14:val="standardContextual"/>
    </w:rPr>
  </w:style>
  <w:style w:type="character" w:customStyle="1" w:styleId="af0">
    <w:name w:val="引用 字符"/>
    <w:basedOn w:val="a0"/>
    <w:link w:val="11"/>
    <w:uiPriority w:val="29"/>
    <w:qFormat/>
    <w:rPr>
      <w:i/>
      <w:iCs/>
      <w:color w:val="404040"/>
    </w:rPr>
  </w:style>
  <w:style w:type="paragraph" w:customStyle="1" w:styleId="12">
    <w:name w:val="列表段落1"/>
    <w:basedOn w:val="a"/>
    <w:uiPriority w:val="34"/>
    <w:qFormat/>
    <w:pPr>
      <w:spacing w:after="160" w:line="278" w:lineRule="auto"/>
      <w:ind w:left="720"/>
      <w:contextualSpacing/>
      <w:jc w:val="left"/>
    </w:pPr>
    <w:rPr>
      <w:rFonts w:ascii="等线" w:eastAsia="等线" w:hAnsi="等线" w:cs="宋体"/>
      <w:sz w:val="22"/>
      <w:szCs w:val="24"/>
      <w14:ligatures w14:val="standardContextual"/>
    </w:rPr>
  </w:style>
  <w:style w:type="character" w:customStyle="1" w:styleId="13">
    <w:name w:val="明显强调1"/>
    <w:basedOn w:val="a0"/>
    <w:uiPriority w:val="21"/>
    <w:qFormat/>
    <w:rPr>
      <w:i/>
      <w:iCs/>
      <w:color w:val="0F4761"/>
    </w:rPr>
  </w:style>
  <w:style w:type="paragraph" w:customStyle="1" w:styleId="14">
    <w:name w:val="明显引用1"/>
    <w:basedOn w:val="a"/>
    <w:next w:val="a"/>
    <w:link w:val="af1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 w:line="278" w:lineRule="auto"/>
      <w:ind w:left="864" w:right="864"/>
      <w:jc w:val="center"/>
    </w:pPr>
    <w:rPr>
      <w:rFonts w:ascii="等线" w:eastAsia="等线" w:hAnsi="等线" w:cs="宋体"/>
      <w:i/>
      <w:iCs/>
      <w:color w:val="0F4761"/>
      <w:sz w:val="22"/>
      <w:szCs w:val="24"/>
      <w14:ligatures w14:val="standardContextual"/>
    </w:rPr>
  </w:style>
  <w:style w:type="character" w:customStyle="1" w:styleId="af1">
    <w:name w:val="明显引用 字符"/>
    <w:basedOn w:val="a0"/>
    <w:link w:val="14"/>
    <w:uiPriority w:val="30"/>
    <w:qFormat/>
    <w:rPr>
      <w:i/>
      <w:iCs/>
      <w:color w:val="0F4761"/>
    </w:rPr>
  </w:style>
  <w:style w:type="character" w:customStyle="1" w:styleId="15">
    <w:name w:val="明显参考1"/>
    <w:basedOn w:val="a0"/>
    <w:uiPriority w:val="32"/>
    <w:qFormat/>
    <w:rPr>
      <w:b/>
      <w:bCs/>
      <w:smallCaps/>
      <w:color w:val="0F4761"/>
      <w:spacing w:val="5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character" w:customStyle="1" w:styleId="a4">
    <w:name w:val="正文文本 字符"/>
    <w:basedOn w:val="a0"/>
    <w:link w:val="a3"/>
    <w:uiPriority w:val="99"/>
    <w:qFormat/>
    <w:rPr>
      <w:rFonts w:ascii="Times New Roman" w:eastAsia="宋体" w:hAnsi="Times New Roman" w:cs="Times New Roman"/>
      <w:sz w:val="21"/>
      <w:szCs w:val="20"/>
      <w14:ligatures w14:val="none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509</Words>
  <Characters>816</Characters>
  <Application>Microsoft Office Word</Application>
  <DocSecurity>0</DocSecurity>
  <Lines>204</Lines>
  <Paragraphs>110</Paragraphs>
  <ScaleCrop>false</ScaleCrop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2026-01-15T13:24:00Z</dcterms:created>
  <dcterms:modified xsi:type="dcterms:W3CDTF">2026-01-16T01:24:00Z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508D9A944BA1494CBBF8EB3668FDF05A_13</vt:lpwstr>
  </property>
  <property fmtid="{D5CDD505-2E9C-101B-9397-08002B2CF9AE}" pid="4" name="KSOTemplateDocerSaveRecord">
    <vt:lpwstr>eyJoZGlkIjoiOTc3M2Y5NzIzMDFlZjAyY2Q4Njk5ODkyYjFjNzBiNTQiLCJ1c2VySWQiOiIyMTUyMTQ4MDEifQ==</vt:lpwstr>
  </property>
</Properties>
</file>